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BD4B4" w:themeColor="accent6" w:themeTint="66"/>
  <w:body>
    <w:p w14:paraId="4DA09C45" w14:textId="6888C589" w:rsidR="0094480E" w:rsidRDefault="0094480E" w:rsidP="0094480E">
      <w:pPr>
        <w:pStyle w:val="Heading1"/>
        <w:tabs>
          <w:tab w:val="center" w:pos="2190"/>
        </w:tabs>
        <w:rPr>
          <w:color w:val="004C99"/>
        </w:rPr>
      </w:pPr>
      <w:r>
        <w:rPr>
          <w:color w:val="004C99"/>
        </w:rPr>
        <w:tab/>
      </w:r>
      <w:r w:rsidR="00C95A4E">
        <w:rPr>
          <w:noProof/>
          <w:color w:val="004C99"/>
        </w:rPr>
        <w:drawing>
          <wp:anchor distT="0" distB="0" distL="114300" distR="114300" simplePos="0" relativeHeight="251658240" behindDoc="0" locked="0" layoutInCell="1" allowOverlap="1" wp14:anchorId="620F124D" wp14:editId="5A2F9311">
            <wp:simplePos x="0" y="0"/>
            <wp:positionH relativeFrom="column">
              <wp:posOffset>191135</wp:posOffset>
            </wp:positionH>
            <wp:positionV relativeFrom="paragraph">
              <wp:posOffset>304800</wp:posOffset>
            </wp:positionV>
            <wp:extent cx="2397760" cy="2144395"/>
            <wp:effectExtent l="0" t="114300" r="0" b="751205"/>
            <wp:wrapSquare wrapText="bothSides"/>
            <wp:docPr id="892044141" name="Picture 2" descr="Multicultural girls h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44141" name="Picture 892044141" descr="Multicultural girls hugging"/>
                    <pic:cNvPicPr/>
                  </pic:nvPicPr>
                  <pic:blipFill rotWithShape="1">
                    <a:blip r:embed="rId8"/>
                    <a:srcRect l="28525" t="3893" b="731"/>
                    <a:stretch/>
                  </pic:blipFill>
                  <pic:spPr bwMode="auto">
                    <a:xfrm>
                      <a:off x="0" y="0"/>
                      <a:ext cx="2397760" cy="214439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53640926-AAD7-44D8-BBD7-CCE9431645EC}">
                        <a14:shadowObscured xmlns:a14="http://schemas.microsoft.com/office/drawing/2010/main"/>
                      </a:ext>
                    </a:extLst>
                  </pic:spPr>
                </pic:pic>
              </a:graphicData>
            </a:graphic>
          </wp:anchor>
        </w:drawing>
      </w:r>
    </w:p>
    <w:p w14:paraId="78A0CD2C" w14:textId="5C3B77BA" w:rsidR="0075460E" w:rsidRPr="0094480E" w:rsidRDefault="00000000">
      <w:pPr>
        <w:pStyle w:val="Heading1"/>
        <w:rPr>
          <w:sz w:val="40"/>
          <w:szCs w:val="40"/>
        </w:rPr>
      </w:pPr>
      <w:r w:rsidRPr="0094480E">
        <w:rPr>
          <w:color w:val="004C99"/>
          <w:sz w:val="40"/>
          <w:szCs w:val="40"/>
        </w:rPr>
        <w:t>Supporting Atypical Development in First Grade</w:t>
      </w:r>
    </w:p>
    <w:p w14:paraId="4BEC04D3" w14:textId="77777777" w:rsidR="0075460E" w:rsidRDefault="00000000">
      <w:r>
        <w:t>Atypical development occurs when a child does not meet developmental milestones at the expected rate compared to their same-age peers. These delays can appear in areas such as speech, motor coordination, social interaction, behavior, or emotional regulation. While some variation in development is normal, persistent or significant differences may signal the need for further observation and support. First grade is a critical year for academic, social, and emotional growth. Teachers play a key role in identifying early signs of atypical development and guiding families through support options and resources.</w:t>
      </w:r>
    </w:p>
    <w:p w14:paraId="3881E599" w14:textId="77777777" w:rsidR="0075460E" w:rsidRDefault="00000000">
      <w:pPr>
        <w:pStyle w:val="Heading2"/>
      </w:pPr>
      <w:r>
        <w:rPr>
          <w:color w:val="004C99"/>
          <w:sz w:val="28"/>
        </w:rPr>
        <w:t>Typical vs. Atypical Development in First Grade</w:t>
      </w:r>
    </w:p>
    <w:p w14:paraId="6A51FB57" w14:textId="77777777" w:rsidR="0075460E" w:rsidRDefault="00000000">
      <w:r>
        <w:t>Children in first grade typically show growing independence, engage in cooperative play, begin to read simple texts, solve basic math problems, and follow classroom routines. They express a broader range of emotions and begin to develop empathy. In contrast, atypical development may manifest as difficulty understanding instructions, limited peer interactions, delayed language or motor skills, frequent tantrums, or an inability to focus. Recognizing these signs early allows teachers to support students more effectively and promote positive outcomes. (CDC, 2023; Responsive Classroom, 2000).</w:t>
      </w:r>
    </w:p>
    <w:p w14:paraId="662433DC" w14:textId="3E075DC3" w:rsidR="0075460E" w:rsidRDefault="00000000">
      <w:pPr>
        <w:pStyle w:val="Heading2"/>
      </w:pPr>
      <w:r>
        <w:rPr>
          <w:color w:val="004C99"/>
          <w:sz w:val="28"/>
        </w:rPr>
        <w:t>Examples of Atypical Behaviors and Support Strategies</w:t>
      </w:r>
    </w:p>
    <w:tbl>
      <w:tblPr>
        <w:tblStyle w:val="TableGrid"/>
        <w:tblW w:w="0" w:type="auto"/>
        <w:tblLook w:val="04A0" w:firstRow="1" w:lastRow="0" w:firstColumn="1" w:lastColumn="0" w:noHBand="0" w:noVBand="1"/>
      </w:tblPr>
      <w:tblGrid>
        <w:gridCol w:w="2121"/>
        <w:gridCol w:w="2055"/>
      </w:tblGrid>
      <w:tr w:rsidR="0075460E" w14:paraId="4AAA7257" w14:textId="77777777" w:rsidTr="003F2A34">
        <w:tc>
          <w:tcPr>
            <w:tcW w:w="2121" w:type="dxa"/>
            <w:shd w:val="clear" w:color="auto" w:fill="4F81BD"/>
          </w:tcPr>
          <w:p w14:paraId="457FAD9E" w14:textId="77777777" w:rsidR="0075460E" w:rsidRDefault="00000000">
            <w:r>
              <w:rPr>
                <w:b/>
                <w:color w:val="FFFFFF"/>
              </w:rPr>
              <w:t>Atypical Behavior</w:t>
            </w:r>
          </w:p>
        </w:tc>
        <w:tc>
          <w:tcPr>
            <w:tcW w:w="2055" w:type="dxa"/>
            <w:shd w:val="clear" w:color="auto" w:fill="4F81BD"/>
          </w:tcPr>
          <w:p w14:paraId="4E346243" w14:textId="77777777" w:rsidR="0075460E" w:rsidRDefault="00000000">
            <w:r>
              <w:rPr>
                <w:b/>
                <w:color w:val="FFFFFF"/>
              </w:rPr>
              <w:t>Support Strategy</w:t>
            </w:r>
          </w:p>
        </w:tc>
      </w:tr>
      <w:tr w:rsidR="0075460E" w14:paraId="1CE62277" w14:textId="77777777" w:rsidTr="003F2A34">
        <w:tc>
          <w:tcPr>
            <w:tcW w:w="2121" w:type="dxa"/>
          </w:tcPr>
          <w:p w14:paraId="07F150D2" w14:textId="77777777" w:rsidR="0075460E" w:rsidRDefault="00000000">
            <w:r>
              <w:t>Limited interaction with peers</w:t>
            </w:r>
          </w:p>
        </w:tc>
        <w:tc>
          <w:tcPr>
            <w:tcW w:w="2055" w:type="dxa"/>
          </w:tcPr>
          <w:p w14:paraId="4FB63A44" w14:textId="77777777" w:rsidR="0075460E" w:rsidRDefault="00000000">
            <w:r>
              <w:t>Introduce structured peer buddy systems and social skills groups.</w:t>
            </w:r>
          </w:p>
        </w:tc>
      </w:tr>
      <w:tr w:rsidR="0075460E" w14:paraId="3C162256" w14:textId="77777777" w:rsidTr="003F2A34">
        <w:tc>
          <w:tcPr>
            <w:tcW w:w="2121" w:type="dxa"/>
          </w:tcPr>
          <w:p w14:paraId="43C4E7F4" w14:textId="77777777" w:rsidR="0075460E" w:rsidRDefault="00000000">
            <w:r>
              <w:t>Difficulty transitioning between tasks</w:t>
            </w:r>
          </w:p>
        </w:tc>
        <w:tc>
          <w:tcPr>
            <w:tcW w:w="2055" w:type="dxa"/>
          </w:tcPr>
          <w:p w14:paraId="7403425F" w14:textId="77777777" w:rsidR="0075460E" w:rsidRDefault="00000000">
            <w:r>
              <w:t>Use visual schedules and transitional warnings.</w:t>
            </w:r>
          </w:p>
        </w:tc>
      </w:tr>
      <w:tr w:rsidR="0075460E" w14:paraId="776177E9" w14:textId="77777777" w:rsidTr="003F2A34">
        <w:tc>
          <w:tcPr>
            <w:tcW w:w="2121" w:type="dxa"/>
          </w:tcPr>
          <w:p w14:paraId="382FFF68" w14:textId="77777777" w:rsidR="0075460E" w:rsidRDefault="00000000">
            <w:r>
              <w:t>Frequent emotional outbursts or meltdowns</w:t>
            </w:r>
          </w:p>
        </w:tc>
        <w:tc>
          <w:tcPr>
            <w:tcW w:w="2055" w:type="dxa"/>
          </w:tcPr>
          <w:p w14:paraId="2465FB2B" w14:textId="77777777" w:rsidR="0075460E" w:rsidRDefault="00000000">
            <w:r>
              <w:t>Create a calm-down space and teach coping strategies like deep breathing.</w:t>
            </w:r>
          </w:p>
        </w:tc>
      </w:tr>
      <w:tr w:rsidR="0075460E" w14:paraId="59E02916" w14:textId="77777777" w:rsidTr="003F2A34">
        <w:tc>
          <w:tcPr>
            <w:tcW w:w="2121" w:type="dxa"/>
          </w:tcPr>
          <w:p w14:paraId="714216EF" w14:textId="77777777" w:rsidR="0075460E" w:rsidRDefault="00000000">
            <w:r>
              <w:t>Delayed speech or unclear language</w:t>
            </w:r>
          </w:p>
        </w:tc>
        <w:tc>
          <w:tcPr>
            <w:tcW w:w="2055" w:type="dxa"/>
          </w:tcPr>
          <w:p w14:paraId="0F76C13E" w14:textId="77777777" w:rsidR="0075460E" w:rsidRDefault="00000000">
            <w:r>
              <w:t>Provide access to a speech-language pathologist and integrate language-rich activities.</w:t>
            </w:r>
          </w:p>
        </w:tc>
      </w:tr>
      <w:tr w:rsidR="0075460E" w14:paraId="59B0A8B8" w14:textId="77777777" w:rsidTr="003F2A34">
        <w:tc>
          <w:tcPr>
            <w:tcW w:w="2121" w:type="dxa"/>
          </w:tcPr>
          <w:p w14:paraId="0795085D" w14:textId="77777777" w:rsidR="0075460E" w:rsidRDefault="00000000">
            <w:r>
              <w:t>Struggles with multi-step directions</w:t>
            </w:r>
          </w:p>
        </w:tc>
        <w:tc>
          <w:tcPr>
            <w:tcW w:w="2055" w:type="dxa"/>
          </w:tcPr>
          <w:p w14:paraId="7B6E8351" w14:textId="7993C369" w:rsidR="0075460E" w:rsidRDefault="00000000">
            <w:r>
              <w:t>Break instructions into smaller parts with visual or verbal cues.</w:t>
            </w:r>
            <w:r w:rsidR="00C95A4E">
              <w:rPr>
                <w:noProof/>
                <w:color w:val="004C99"/>
                <w:sz w:val="28"/>
              </w:rPr>
              <w:t xml:space="preserve"> </w:t>
            </w:r>
          </w:p>
        </w:tc>
      </w:tr>
    </w:tbl>
    <w:p w14:paraId="69458311" w14:textId="77777777" w:rsidR="0075460E" w:rsidRDefault="00000000">
      <w:pPr>
        <w:pStyle w:val="Heading2"/>
      </w:pPr>
      <w:r>
        <w:rPr>
          <w:color w:val="004C99"/>
          <w:sz w:val="28"/>
        </w:rPr>
        <w:lastRenderedPageBreak/>
        <w:t>Key Stakeholders and Communication Strategies</w:t>
      </w:r>
    </w:p>
    <w:p w14:paraId="2AC2166B" w14:textId="136A8FC8" w:rsidR="0075460E" w:rsidRDefault="003F2A34">
      <w:r>
        <w:rPr>
          <w:noProof/>
          <w:color w:val="004C99"/>
          <w:sz w:val="28"/>
        </w:rPr>
        <w:drawing>
          <wp:anchor distT="0" distB="0" distL="114300" distR="114300" simplePos="0" relativeHeight="251658752" behindDoc="1" locked="0" layoutInCell="1" allowOverlap="1" wp14:anchorId="2F4CD1C9" wp14:editId="74AD91E2">
            <wp:simplePos x="0" y="0"/>
            <wp:positionH relativeFrom="column">
              <wp:posOffset>1284061</wp:posOffset>
            </wp:positionH>
            <wp:positionV relativeFrom="paragraph">
              <wp:posOffset>1704126</wp:posOffset>
            </wp:positionV>
            <wp:extent cx="2976880" cy="1984375"/>
            <wp:effectExtent l="114300" t="76200" r="52070" b="130175"/>
            <wp:wrapTight wrapText="bothSides">
              <wp:wrapPolygon edited="0">
                <wp:start x="1382" y="-829"/>
                <wp:lineTo x="-829" y="-415"/>
                <wp:lineTo x="-829" y="20736"/>
                <wp:lineTo x="1244" y="22810"/>
                <wp:lineTo x="19766" y="22810"/>
                <wp:lineTo x="19904" y="22395"/>
                <wp:lineTo x="21840" y="19699"/>
                <wp:lineTo x="21840" y="2696"/>
                <wp:lineTo x="19766" y="-415"/>
                <wp:lineTo x="19628" y="-829"/>
                <wp:lineTo x="1382" y="-829"/>
              </wp:wrapPolygon>
            </wp:wrapTight>
            <wp:docPr id="670122358" name="Picture 3" descr="Father helping son with ho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22358" name="Picture 670122358" descr="Father helping son with homework"/>
                    <pic:cNvPicPr/>
                  </pic:nvPicPr>
                  <pic:blipFill>
                    <a:blip r:embed="rId9"/>
                    <a:stretch>
                      <a:fillRect/>
                    </a:stretch>
                  </pic:blipFill>
                  <pic:spPr>
                    <a:xfrm>
                      <a:off x="0" y="0"/>
                      <a:ext cx="2976880" cy="19843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t>When atypical behaviors are observed, it is important to involve relevant stakeholders to ensure a child receives appropriate support. These team members may include:</w:t>
      </w:r>
      <w:r>
        <w:br/>
      </w:r>
      <w:r>
        <w:br/>
        <w:t>1. Parents/Guardians – Initiate communication through parent-teacher conferences and provide regular updates. Use specific examples of behaviors, share progress, and collaborate on strategies that can be used at home and school.</w:t>
      </w:r>
      <w:r>
        <w:br/>
      </w:r>
      <w:r>
        <w:br/>
        <w:t>2. School Counselor</w:t>
      </w:r>
      <w:r w:rsidR="00A25F68">
        <w:t xml:space="preserve"> </w:t>
      </w:r>
      <w:r>
        <w:t>– Consult with counselors for behavior management strategies or emotional support plans. Collaborate in team meetings to develop behavior intervention plans and social-emotional goals.</w:t>
      </w:r>
      <w:r>
        <w:br/>
      </w:r>
      <w:r>
        <w:br/>
        <w:t>3.</w:t>
      </w:r>
      <w:r w:rsidR="00A25F68">
        <w:t xml:space="preserve"> </w:t>
      </w:r>
      <w:r>
        <w:t>Special Education Teacher or Coordinator – Discuss concerns and gather input on whether formal evaluations or Individualized Education Programs (IEPs) are appropriate. Participate in student support teams and planning meetings. (CDC, 2023).</w:t>
      </w:r>
    </w:p>
    <w:p w14:paraId="131FECE2" w14:textId="77777777" w:rsidR="00781847" w:rsidRDefault="00781847">
      <w:pPr>
        <w:pStyle w:val="Heading2"/>
        <w:rPr>
          <w:color w:val="004C99"/>
          <w:sz w:val="28"/>
        </w:rPr>
      </w:pPr>
    </w:p>
    <w:p w14:paraId="72E2C848" w14:textId="22CC4FD9" w:rsidR="0075460E" w:rsidRDefault="00000000">
      <w:pPr>
        <w:pStyle w:val="Heading2"/>
      </w:pPr>
      <w:r>
        <w:rPr>
          <w:color w:val="004C99"/>
          <w:sz w:val="28"/>
        </w:rPr>
        <w:t>Early Intervention Agencies and Specialized Experts</w:t>
      </w:r>
    </w:p>
    <w:p w14:paraId="012A61F4" w14:textId="12B1872B" w:rsidR="0075460E" w:rsidRDefault="00000000">
      <w:r>
        <w:t>Two valuable partners in addressing atypical development include:</w:t>
      </w:r>
      <w:r w:rsidR="003F2A34" w:rsidRPr="003F2A34">
        <w:rPr>
          <w:noProof/>
        </w:rPr>
        <w:t xml:space="preserve"> </w:t>
      </w:r>
      <w:r>
        <w:br/>
      </w:r>
      <w:r>
        <w:br/>
        <w:t>1. Child Find (IDEA Part B) – This federally funded program helps identify children with disabilities. Teachers can refer students for screenings and evaluations to determine eligibility for special education services. Collaboration allows educators to align classroom supports with evaluation findings.</w:t>
      </w:r>
      <w:r>
        <w:br/>
      </w:r>
      <w:r>
        <w:br/>
        <w:t>2. School Psychologist – This expert conducts psychoeducational evaluations and helps develop accommodations and interventions. By working closely with school psychologists, teachers can implement targeted strategies that address learning and behavior concerns effectively. (CDC, 2023).</w:t>
      </w:r>
    </w:p>
    <w:p w14:paraId="7DC4BBBD" w14:textId="77777777" w:rsidR="003F2A34" w:rsidRDefault="003F2A34">
      <w:pPr>
        <w:pStyle w:val="Heading2"/>
        <w:rPr>
          <w:color w:val="004C99"/>
          <w:sz w:val="28"/>
        </w:rPr>
      </w:pPr>
    </w:p>
    <w:p w14:paraId="1CDA18EF" w14:textId="77777777" w:rsidR="003F2A34" w:rsidRDefault="003F2A34">
      <w:pPr>
        <w:pStyle w:val="Heading2"/>
        <w:rPr>
          <w:color w:val="004C99"/>
          <w:sz w:val="28"/>
        </w:rPr>
      </w:pPr>
    </w:p>
    <w:p w14:paraId="4295A406" w14:textId="77777777" w:rsidR="003F2A34" w:rsidRDefault="003F2A34">
      <w:pPr>
        <w:pStyle w:val="Heading2"/>
        <w:rPr>
          <w:color w:val="004C99"/>
          <w:sz w:val="28"/>
        </w:rPr>
      </w:pPr>
    </w:p>
    <w:p w14:paraId="17071687" w14:textId="77777777" w:rsidR="003F2A34" w:rsidRDefault="003F2A34">
      <w:pPr>
        <w:pStyle w:val="Heading2"/>
        <w:rPr>
          <w:color w:val="004C99"/>
          <w:sz w:val="28"/>
        </w:rPr>
      </w:pPr>
    </w:p>
    <w:p w14:paraId="12595D15" w14:textId="77777777" w:rsidR="003F2A34" w:rsidRDefault="003F2A34">
      <w:pPr>
        <w:pStyle w:val="Heading2"/>
        <w:rPr>
          <w:color w:val="004C99"/>
          <w:sz w:val="28"/>
        </w:rPr>
      </w:pPr>
    </w:p>
    <w:p w14:paraId="0F9C4ED2" w14:textId="77777777" w:rsidR="003F2A34" w:rsidRDefault="003F2A34">
      <w:pPr>
        <w:pStyle w:val="Heading2"/>
        <w:rPr>
          <w:color w:val="004C99"/>
          <w:sz w:val="28"/>
        </w:rPr>
      </w:pPr>
    </w:p>
    <w:p w14:paraId="60B37BB6" w14:textId="77777777" w:rsidR="003F2A34" w:rsidRDefault="003F2A34">
      <w:pPr>
        <w:pStyle w:val="Heading2"/>
        <w:rPr>
          <w:color w:val="004C99"/>
          <w:sz w:val="28"/>
        </w:rPr>
      </w:pPr>
    </w:p>
    <w:p w14:paraId="23E23E9B" w14:textId="77777777" w:rsidR="003F2A34" w:rsidRDefault="003F2A34">
      <w:pPr>
        <w:pStyle w:val="Heading2"/>
        <w:rPr>
          <w:color w:val="004C99"/>
          <w:sz w:val="28"/>
        </w:rPr>
      </w:pPr>
    </w:p>
    <w:p w14:paraId="51FC816A" w14:textId="609DE189" w:rsidR="0075460E" w:rsidRDefault="00000000">
      <w:pPr>
        <w:pStyle w:val="Heading2"/>
      </w:pPr>
      <w:r>
        <w:rPr>
          <w:color w:val="004C99"/>
          <w:sz w:val="28"/>
        </w:rPr>
        <w:t>Additional Resources for Teacher Support</w:t>
      </w:r>
    </w:p>
    <w:p w14:paraId="5EFDAD0D" w14:textId="15E852F8" w:rsidR="0075460E" w:rsidRDefault="00000000">
      <w:r>
        <w:t>To further support young children with atypical development, teachers can access the following resources:</w:t>
      </w:r>
      <w:r>
        <w:br/>
      </w:r>
      <w:r>
        <w:br/>
        <w:t>1. National Association for the Education of Young Children (NAEYC) – Provides position statements, articles, and guides on child development and inclusive teaching practices.</w:t>
      </w:r>
      <w:r>
        <w:br/>
      </w:r>
      <w:r>
        <w:br/>
        <w:t>2. Center on the Social and Emotional Foundations for Early Learning (CSEFEL) – Offers tools, training modules, and teaching strategies to support social-emotional development.</w:t>
      </w:r>
      <w:r>
        <w:br/>
      </w:r>
      <w:r>
        <w:br/>
        <w:t>3. Teaching Strategies GOLD– A formative assessment system aligned with developmental milestones that helps teachers plan and monitor progress. (Responsive Classroom, 2000; LeapFrog, n.d.).</w:t>
      </w:r>
    </w:p>
    <w:p w14:paraId="4BD474A2" w14:textId="77777777" w:rsidR="003F2A34" w:rsidRDefault="003F2A34">
      <w:pPr>
        <w:pStyle w:val="Heading2"/>
        <w:rPr>
          <w:color w:val="004C99"/>
          <w:sz w:val="28"/>
        </w:rPr>
      </w:pPr>
    </w:p>
    <w:p w14:paraId="6B01FE85" w14:textId="77777777" w:rsidR="003F2A34" w:rsidRDefault="003F2A34">
      <w:pPr>
        <w:pStyle w:val="Heading2"/>
        <w:rPr>
          <w:color w:val="004C99"/>
          <w:sz w:val="28"/>
        </w:rPr>
      </w:pPr>
    </w:p>
    <w:p w14:paraId="57737038" w14:textId="77777777" w:rsidR="003F2A34" w:rsidRDefault="003F2A34">
      <w:pPr>
        <w:pStyle w:val="Heading2"/>
        <w:rPr>
          <w:color w:val="004C99"/>
          <w:sz w:val="28"/>
        </w:rPr>
      </w:pPr>
    </w:p>
    <w:p w14:paraId="0DDC2108" w14:textId="555DF293" w:rsidR="003F2A34" w:rsidRDefault="00781847">
      <w:pPr>
        <w:pStyle w:val="Heading2"/>
        <w:rPr>
          <w:color w:val="004C99"/>
          <w:sz w:val="28"/>
        </w:rPr>
      </w:pPr>
      <w:r>
        <w:rPr>
          <w:noProof/>
        </w:rPr>
        <w:drawing>
          <wp:inline distT="0" distB="0" distL="0" distR="0" wp14:anchorId="102FC879" wp14:editId="78403FFB">
            <wp:extent cx="3032651" cy="2516488"/>
            <wp:effectExtent l="0" t="0" r="0" b="0"/>
            <wp:docPr id="1619975972" name="Picture 4" descr="Family drawing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75972" name="Picture 1619975972" descr="Family drawing on paper"/>
                    <pic:cNvPicPr/>
                  </pic:nvPicPr>
                  <pic:blipFill>
                    <a:blip r:embed="rId10"/>
                    <a:stretch>
                      <a:fillRect/>
                    </a:stretch>
                  </pic:blipFill>
                  <pic:spPr>
                    <a:xfrm>
                      <a:off x="0" y="0"/>
                      <a:ext cx="3043214" cy="2525253"/>
                    </a:xfrm>
                    <a:prstGeom prst="rect">
                      <a:avLst/>
                    </a:prstGeom>
                    <a:ln>
                      <a:noFill/>
                    </a:ln>
                    <a:effectLst>
                      <a:softEdge rad="112500"/>
                    </a:effectLst>
                  </pic:spPr>
                </pic:pic>
              </a:graphicData>
            </a:graphic>
          </wp:inline>
        </w:drawing>
      </w:r>
    </w:p>
    <w:p w14:paraId="060E9D4E" w14:textId="77777777" w:rsidR="003F2A34" w:rsidRDefault="003F2A34">
      <w:pPr>
        <w:pStyle w:val="Heading2"/>
        <w:rPr>
          <w:color w:val="004C99"/>
          <w:sz w:val="28"/>
        </w:rPr>
      </w:pPr>
    </w:p>
    <w:p w14:paraId="3F13C522" w14:textId="648E13DF" w:rsidR="003F2A34" w:rsidRDefault="003F2A34">
      <w:pPr>
        <w:pStyle w:val="Heading2"/>
        <w:rPr>
          <w:color w:val="004C99"/>
          <w:sz w:val="28"/>
        </w:rPr>
      </w:pPr>
    </w:p>
    <w:p w14:paraId="33C3C8C0" w14:textId="77777777" w:rsidR="003F2A34" w:rsidRDefault="003F2A34">
      <w:pPr>
        <w:pStyle w:val="Heading2"/>
        <w:rPr>
          <w:color w:val="004C99"/>
          <w:sz w:val="28"/>
        </w:rPr>
      </w:pPr>
    </w:p>
    <w:p w14:paraId="0D78C653" w14:textId="77777777" w:rsidR="003F2A34" w:rsidRDefault="003F2A34">
      <w:pPr>
        <w:pStyle w:val="Heading2"/>
        <w:rPr>
          <w:color w:val="004C99"/>
          <w:sz w:val="28"/>
        </w:rPr>
      </w:pPr>
    </w:p>
    <w:p w14:paraId="282F0B81" w14:textId="47F44C83" w:rsidR="003F2A34" w:rsidRDefault="003F2A34">
      <w:pPr>
        <w:pStyle w:val="Heading2"/>
        <w:rPr>
          <w:color w:val="004C99"/>
          <w:sz w:val="28"/>
        </w:rPr>
      </w:pPr>
    </w:p>
    <w:p w14:paraId="37CCBA4F" w14:textId="77777777" w:rsidR="003F2A34" w:rsidRDefault="003F2A34">
      <w:pPr>
        <w:pStyle w:val="Heading2"/>
        <w:rPr>
          <w:color w:val="004C99"/>
          <w:sz w:val="28"/>
        </w:rPr>
      </w:pPr>
    </w:p>
    <w:p w14:paraId="5535DD3D" w14:textId="77777777" w:rsidR="003F2A34" w:rsidRDefault="003F2A34">
      <w:pPr>
        <w:pStyle w:val="Heading2"/>
        <w:rPr>
          <w:color w:val="004C99"/>
          <w:sz w:val="28"/>
        </w:rPr>
      </w:pPr>
    </w:p>
    <w:p w14:paraId="469E80BD" w14:textId="77777777" w:rsidR="003F2A34" w:rsidRDefault="003F2A34">
      <w:pPr>
        <w:pStyle w:val="Heading2"/>
        <w:rPr>
          <w:color w:val="004C99"/>
          <w:sz w:val="28"/>
        </w:rPr>
      </w:pPr>
    </w:p>
    <w:p w14:paraId="0B534A67" w14:textId="77777777" w:rsidR="003F2A34" w:rsidRDefault="003F2A34">
      <w:pPr>
        <w:pStyle w:val="Heading2"/>
        <w:rPr>
          <w:color w:val="004C99"/>
          <w:sz w:val="28"/>
        </w:rPr>
      </w:pPr>
    </w:p>
    <w:p w14:paraId="385B23CC" w14:textId="77777777" w:rsidR="003F2A34" w:rsidRDefault="003F2A34">
      <w:pPr>
        <w:pStyle w:val="Heading2"/>
        <w:rPr>
          <w:color w:val="004C99"/>
          <w:sz w:val="28"/>
        </w:rPr>
      </w:pPr>
    </w:p>
    <w:p w14:paraId="0FB1E7CD" w14:textId="77777777" w:rsidR="003F2A34" w:rsidRDefault="003F2A34">
      <w:pPr>
        <w:pStyle w:val="Heading2"/>
        <w:rPr>
          <w:color w:val="004C99"/>
          <w:sz w:val="28"/>
        </w:rPr>
      </w:pPr>
    </w:p>
    <w:p w14:paraId="6DFE865D" w14:textId="77777777" w:rsidR="003F2A34" w:rsidRDefault="003F2A34">
      <w:pPr>
        <w:pStyle w:val="Heading2"/>
        <w:rPr>
          <w:color w:val="004C99"/>
          <w:sz w:val="28"/>
        </w:rPr>
      </w:pPr>
    </w:p>
    <w:p w14:paraId="2F35B2F5" w14:textId="77777777" w:rsidR="003F2A34" w:rsidRDefault="003F2A34">
      <w:pPr>
        <w:pStyle w:val="Heading2"/>
        <w:rPr>
          <w:color w:val="004C99"/>
          <w:sz w:val="28"/>
        </w:rPr>
      </w:pPr>
    </w:p>
    <w:p w14:paraId="58FC3AD7" w14:textId="77777777" w:rsidR="003F2A34" w:rsidRDefault="003F2A34">
      <w:pPr>
        <w:pStyle w:val="Heading2"/>
        <w:rPr>
          <w:color w:val="004C99"/>
          <w:sz w:val="28"/>
        </w:rPr>
      </w:pPr>
    </w:p>
    <w:p w14:paraId="08DA4B18" w14:textId="77777777" w:rsidR="003F2A34" w:rsidRDefault="003F2A34">
      <w:pPr>
        <w:pStyle w:val="Heading2"/>
        <w:rPr>
          <w:color w:val="004C99"/>
          <w:sz w:val="28"/>
        </w:rPr>
      </w:pPr>
    </w:p>
    <w:p w14:paraId="6E0023D7" w14:textId="77777777" w:rsidR="003F2A34" w:rsidRDefault="003F2A34">
      <w:pPr>
        <w:pStyle w:val="Heading2"/>
        <w:rPr>
          <w:color w:val="004C99"/>
          <w:sz w:val="28"/>
        </w:rPr>
      </w:pPr>
    </w:p>
    <w:p w14:paraId="44F6A4F6" w14:textId="77777777" w:rsidR="003F2A34" w:rsidRDefault="003F2A34">
      <w:pPr>
        <w:pStyle w:val="Heading2"/>
        <w:rPr>
          <w:color w:val="004C99"/>
          <w:sz w:val="28"/>
        </w:rPr>
      </w:pPr>
    </w:p>
    <w:p w14:paraId="7725951F" w14:textId="77777777" w:rsidR="003F2A34" w:rsidRDefault="003F2A34">
      <w:pPr>
        <w:pStyle w:val="Heading2"/>
        <w:rPr>
          <w:color w:val="004C99"/>
          <w:sz w:val="28"/>
        </w:rPr>
      </w:pPr>
    </w:p>
    <w:p w14:paraId="01D11FB7" w14:textId="77777777" w:rsidR="003F2A34" w:rsidRDefault="003F2A34">
      <w:pPr>
        <w:pStyle w:val="Heading2"/>
        <w:rPr>
          <w:color w:val="004C99"/>
          <w:sz w:val="28"/>
        </w:rPr>
      </w:pPr>
    </w:p>
    <w:p w14:paraId="4EBA5193" w14:textId="77777777" w:rsidR="003F2A34" w:rsidRDefault="003F2A34">
      <w:pPr>
        <w:pStyle w:val="Heading2"/>
        <w:rPr>
          <w:color w:val="004C99"/>
          <w:sz w:val="28"/>
        </w:rPr>
        <w:sectPr w:rsidR="003F2A34" w:rsidSect="003F2A34">
          <w:headerReference w:type="default" r:id="rId11"/>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44E4C675" w14:textId="77D6ADA9" w:rsidR="0075460E" w:rsidRDefault="00000000">
      <w:pPr>
        <w:pStyle w:val="Heading2"/>
      </w:pPr>
      <w:r>
        <w:rPr>
          <w:color w:val="004C99"/>
          <w:sz w:val="28"/>
        </w:rPr>
        <w:t>References</w:t>
      </w:r>
    </w:p>
    <w:p w14:paraId="0F595BA5" w14:textId="77777777" w:rsidR="003F2A34" w:rsidRDefault="00000000">
      <w:pPr>
        <w:rPr>
          <w:i/>
          <w:iCs/>
        </w:rPr>
      </w:pPr>
      <w:r>
        <w:t xml:space="preserve">Centers for Disease Control and Prevention (CDC). (2023). </w:t>
      </w:r>
      <w:r w:rsidRPr="003F2A34">
        <w:rPr>
          <w:i/>
          <w:iCs/>
        </w:rPr>
        <w:t xml:space="preserve">Developmental milestones: Ages 5 </w:t>
      </w:r>
    </w:p>
    <w:p w14:paraId="18D58B84" w14:textId="13D19398" w:rsidR="003F2A34" w:rsidRDefault="003F2A34">
      <w:r>
        <w:rPr>
          <w:i/>
          <w:iCs/>
        </w:rPr>
        <w:t xml:space="preserve">        </w:t>
      </w:r>
      <w:r w:rsidRPr="003F2A34">
        <w:rPr>
          <w:i/>
          <w:iCs/>
        </w:rPr>
        <w:t>and older</w:t>
      </w:r>
      <w:r>
        <w:t xml:space="preserve">. </w:t>
      </w:r>
      <w:r w:rsidRPr="003F2A34">
        <w:t>https://www.cdc.gov/ncbddd/actearly/milestones/index.html</w:t>
      </w:r>
    </w:p>
    <w:p w14:paraId="0EE0D9B9" w14:textId="77777777" w:rsidR="00A25F68" w:rsidRDefault="00A25F68" w:rsidP="00A25F68">
      <w:proofErr w:type="spellStart"/>
      <w:r>
        <w:t>LeapFrog</w:t>
      </w:r>
      <w:proofErr w:type="spellEnd"/>
      <w:r>
        <w:t xml:space="preserve">. (n.d.). </w:t>
      </w:r>
      <w:r w:rsidRPr="003F2A34">
        <w:rPr>
          <w:i/>
          <w:iCs/>
        </w:rPr>
        <w:t>First grade skills checklist</w:t>
      </w:r>
      <w:r>
        <w:t xml:space="preserve">. </w:t>
      </w:r>
      <w:r w:rsidRPr="003F2A34">
        <w:t>https://www.leapfrog.com/en-us/learning-</w:t>
      </w:r>
    </w:p>
    <w:p w14:paraId="630D3970" w14:textId="77777777" w:rsidR="00A25F68" w:rsidRDefault="00A25F68" w:rsidP="00A25F68">
      <w:r>
        <w:t xml:space="preserve">        path/articles/</w:t>
      </w:r>
      <w:proofErr w:type="gramStart"/>
      <w:r>
        <w:t>first-grade</w:t>
      </w:r>
      <w:proofErr w:type="gramEnd"/>
      <w:r>
        <w:t>-skills-checklist</w:t>
      </w:r>
    </w:p>
    <w:p w14:paraId="00F3A93B" w14:textId="5B982733" w:rsidR="003F2A34" w:rsidRDefault="00000000">
      <w:r>
        <w:t xml:space="preserve">Northeast Foundation for Children. (2000). </w:t>
      </w:r>
      <w:r w:rsidRPr="003F2A34">
        <w:rPr>
          <w:i/>
          <w:iCs/>
        </w:rPr>
        <w:t>Knowing First Graders. Responsive Classroom</w:t>
      </w:r>
      <w:r>
        <w:t xml:space="preserve">. </w:t>
      </w:r>
    </w:p>
    <w:p w14:paraId="3925D7D6" w14:textId="31D5745A" w:rsidR="003F2A34" w:rsidRDefault="003F2A34">
      <w:r>
        <w:t xml:space="preserve">        </w:t>
      </w:r>
      <w:r w:rsidRPr="003F2A34">
        <w:t>https://www.responsiveclassroom.org/sites/default/files/ET1intro.pdf</w:t>
      </w:r>
    </w:p>
    <w:sectPr w:rsidR="003F2A34" w:rsidSect="00A25F68">
      <w:type w:val="continuous"/>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F1DB1" w14:textId="77777777" w:rsidR="003308C9" w:rsidRDefault="003308C9" w:rsidP="0094480E">
      <w:pPr>
        <w:spacing w:after="0" w:line="240" w:lineRule="auto"/>
      </w:pPr>
      <w:r>
        <w:separator/>
      </w:r>
    </w:p>
  </w:endnote>
  <w:endnote w:type="continuationSeparator" w:id="0">
    <w:p w14:paraId="79EC9116" w14:textId="77777777" w:rsidR="003308C9" w:rsidRDefault="003308C9" w:rsidP="00944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5FCE7" w14:textId="77777777" w:rsidR="003308C9" w:rsidRDefault="003308C9" w:rsidP="0094480E">
      <w:pPr>
        <w:spacing w:after="0" w:line="240" w:lineRule="auto"/>
      </w:pPr>
      <w:r>
        <w:separator/>
      </w:r>
    </w:p>
  </w:footnote>
  <w:footnote w:type="continuationSeparator" w:id="0">
    <w:p w14:paraId="763BA73B" w14:textId="77777777" w:rsidR="003308C9" w:rsidRDefault="003308C9" w:rsidP="009448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0C89C" w14:textId="65684B07" w:rsidR="00C95A4E" w:rsidRPr="00C95A4E" w:rsidRDefault="00C95A4E">
    <w:pPr>
      <w:pStyle w:val="Header"/>
      <w:rPr>
        <w:color w:val="1F497D" w:themeColor="text2"/>
        <w:sz w:val="52"/>
        <w:szCs w:val="52"/>
      </w:rPr>
    </w:pPr>
    <w:r w:rsidRPr="00C95A4E">
      <w:rPr>
        <w:color w:val="1F497D" w:themeColor="text2"/>
        <w:sz w:val="52"/>
        <w:szCs w:val="52"/>
      </w:rPr>
      <w:t>Atypical Development in First Grade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97565218">
    <w:abstractNumId w:val="8"/>
  </w:num>
  <w:num w:numId="2" w16cid:durableId="1017392709">
    <w:abstractNumId w:val="6"/>
  </w:num>
  <w:num w:numId="3" w16cid:durableId="1044254881">
    <w:abstractNumId w:val="5"/>
  </w:num>
  <w:num w:numId="4" w16cid:durableId="1420447676">
    <w:abstractNumId w:val="4"/>
  </w:num>
  <w:num w:numId="5" w16cid:durableId="846406816">
    <w:abstractNumId w:val="7"/>
  </w:num>
  <w:num w:numId="6" w16cid:durableId="140117204">
    <w:abstractNumId w:val="3"/>
  </w:num>
  <w:num w:numId="7" w16cid:durableId="2146774233">
    <w:abstractNumId w:val="2"/>
  </w:num>
  <w:num w:numId="8" w16cid:durableId="1186410258">
    <w:abstractNumId w:val="1"/>
  </w:num>
  <w:num w:numId="9" w16cid:durableId="1944222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40A45"/>
    <w:rsid w:val="00270FCE"/>
    <w:rsid w:val="002772D2"/>
    <w:rsid w:val="0029639D"/>
    <w:rsid w:val="00326F90"/>
    <w:rsid w:val="003308C9"/>
    <w:rsid w:val="00376EAA"/>
    <w:rsid w:val="003F2A34"/>
    <w:rsid w:val="007209F7"/>
    <w:rsid w:val="0075460E"/>
    <w:rsid w:val="00781847"/>
    <w:rsid w:val="0094480E"/>
    <w:rsid w:val="00A25F68"/>
    <w:rsid w:val="00AA1D8D"/>
    <w:rsid w:val="00B47730"/>
    <w:rsid w:val="00C95A4E"/>
    <w:rsid w:val="00CB0664"/>
    <w:rsid w:val="00E7282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11B71E"/>
  <w14:defaultImageDpi w14:val="300"/>
  <w15:docId w15:val="{2B06143B-2A7D-48E5-8FC7-666E29D0F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F2A34"/>
    <w:rPr>
      <w:color w:val="0000FF" w:themeColor="hyperlink"/>
      <w:u w:val="single"/>
    </w:rPr>
  </w:style>
  <w:style w:type="character" w:styleId="UnresolvedMention">
    <w:name w:val="Unresolved Mention"/>
    <w:basedOn w:val="DefaultParagraphFont"/>
    <w:uiPriority w:val="99"/>
    <w:semiHidden/>
    <w:unhideWhenUsed/>
    <w:rsid w:val="003F2A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Judi Oswalt</cp:lastModifiedBy>
  <cp:revision>2</cp:revision>
  <dcterms:created xsi:type="dcterms:W3CDTF">2025-05-21T22:03:00Z</dcterms:created>
  <dcterms:modified xsi:type="dcterms:W3CDTF">2025-05-21T22:03:00Z</dcterms:modified>
  <cp:category/>
</cp:coreProperties>
</file>